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FE" w:rsidRDefault="009E5DB7">
      <w:pPr>
        <w:pStyle w:val="1"/>
        <w:spacing w:before="68" w:line="276" w:lineRule="auto"/>
        <w:ind w:right="145" w:firstLine="2"/>
      </w:pPr>
      <w:r>
        <w:t>Обґрунтування технічних та якісних характеристик предмета закупівлі, розміру</w:t>
      </w:r>
      <w:r>
        <w:rPr>
          <w:spacing w:val="1"/>
        </w:rPr>
        <w:t xml:space="preserve"> </w:t>
      </w:r>
      <w:r>
        <w:t>бюджетного</w:t>
      </w:r>
      <w:r>
        <w:rPr>
          <w:spacing w:val="-2"/>
        </w:rPr>
        <w:t xml:space="preserve"> </w:t>
      </w:r>
      <w:r>
        <w:t>призначення, очікуваної</w:t>
      </w:r>
      <w:r>
        <w:rPr>
          <w:spacing w:val="-2"/>
        </w:rPr>
        <w:t xml:space="preserve"> </w:t>
      </w:r>
      <w:r>
        <w:t>вартості</w:t>
      </w:r>
      <w:r>
        <w:rPr>
          <w:spacing w:val="-2"/>
        </w:rPr>
        <w:t xml:space="preserve"> </w:t>
      </w:r>
      <w:r>
        <w:t>предмета</w:t>
      </w:r>
      <w:r>
        <w:rPr>
          <w:spacing w:val="-6"/>
        </w:rPr>
        <w:t xml:space="preserve"> </w:t>
      </w:r>
      <w:r>
        <w:t>закупівлі</w:t>
      </w:r>
      <w:r>
        <w:rPr>
          <w:spacing w:val="-6"/>
        </w:rPr>
        <w:t xml:space="preserve"> </w:t>
      </w:r>
      <w:r>
        <w:t>(відповідно</w:t>
      </w:r>
      <w:r>
        <w:rPr>
          <w:spacing w:val="-6"/>
        </w:rPr>
        <w:t xml:space="preserve"> </w:t>
      </w:r>
      <w:r>
        <w:t>до</w:t>
      </w:r>
      <w:r>
        <w:rPr>
          <w:spacing w:val="-2"/>
        </w:rPr>
        <w:t xml:space="preserve"> </w:t>
      </w:r>
      <w:r>
        <w:t>пункту</w:t>
      </w:r>
      <w:r>
        <w:rPr>
          <w:spacing w:val="-6"/>
        </w:rPr>
        <w:t xml:space="preserve"> </w:t>
      </w:r>
      <w:r>
        <w:t>41</w:t>
      </w:r>
      <w:r>
        <w:rPr>
          <w:spacing w:val="-57"/>
        </w:rPr>
        <w:t xml:space="preserve"> </w:t>
      </w:r>
      <w:r>
        <w:t>постанови</w:t>
      </w:r>
      <w:r>
        <w:rPr>
          <w:spacing w:val="-1"/>
        </w:rPr>
        <w:t xml:space="preserve"> </w:t>
      </w:r>
      <w:r>
        <w:t>КМУ</w:t>
      </w:r>
      <w:r>
        <w:rPr>
          <w:spacing w:val="-4"/>
        </w:rPr>
        <w:t xml:space="preserve"> </w:t>
      </w:r>
      <w:r>
        <w:t>від</w:t>
      </w:r>
      <w:r>
        <w:rPr>
          <w:spacing w:val="-2"/>
        </w:rPr>
        <w:t xml:space="preserve"> </w:t>
      </w:r>
      <w:r>
        <w:t>11.10.2016</w:t>
      </w:r>
      <w:r>
        <w:rPr>
          <w:spacing w:val="-5"/>
        </w:rPr>
        <w:t xml:space="preserve"> </w:t>
      </w:r>
      <w:r>
        <w:t>№</w:t>
      </w:r>
      <w:r>
        <w:rPr>
          <w:spacing w:val="-2"/>
        </w:rPr>
        <w:t xml:space="preserve"> </w:t>
      </w:r>
      <w:r>
        <w:t>710</w:t>
      </w:r>
      <w:r>
        <w:rPr>
          <w:spacing w:val="-1"/>
        </w:rPr>
        <w:t xml:space="preserve"> </w:t>
      </w:r>
      <w:r>
        <w:t>«Про ефективне</w:t>
      </w:r>
      <w:r>
        <w:rPr>
          <w:spacing w:val="-6"/>
        </w:rPr>
        <w:t xml:space="preserve"> </w:t>
      </w:r>
      <w:r>
        <w:t>використання</w:t>
      </w:r>
      <w:r>
        <w:rPr>
          <w:spacing w:val="-2"/>
        </w:rPr>
        <w:t xml:space="preserve"> </w:t>
      </w:r>
      <w:r>
        <w:t>державних</w:t>
      </w:r>
      <w:r>
        <w:rPr>
          <w:spacing w:val="-5"/>
        </w:rPr>
        <w:t xml:space="preserve"> </w:t>
      </w:r>
      <w:r>
        <w:t>коштів»</w:t>
      </w:r>
    </w:p>
    <w:p w:rsidR="00AF6CFE" w:rsidRDefault="009E5DB7">
      <w:pPr>
        <w:spacing w:line="274" w:lineRule="exact"/>
        <w:ind w:left="4390" w:right="4390"/>
        <w:jc w:val="center"/>
        <w:rPr>
          <w:b/>
          <w:sz w:val="24"/>
        </w:rPr>
      </w:pPr>
      <w:r>
        <w:rPr>
          <w:b/>
          <w:sz w:val="24"/>
        </w:rPr>
        <w:t>(зі змінами))</w:t>
      </w:r>
    </w:p>
    <w:p w:rsidR="00AF6CFE" w:rsidRDefault="00AF6CFE">
      <w:pPr>
        <w:pStyle w:val="a3"/>
        <w:spacing w:before="1"/>
        <w:ind w:left="0"/>
        <w:jc w:val="left"/>
        <w:rPr>
          <w:b/>
          <w:sz w:val="21"/>
        </w:rPr>
      </w:pPr>
    </w:p>
    <w:p w:rsidR="009B1DA4" w:rsidRPr="009B1DA4" w:rsidRDefault="009B1DA4" w:rsidP="009B1DA4">
      <w:pPr>
        <w:pStyle w:val="a4"/>
        <w:numPr>
          <w:ilvl w:val="0"/>
          <w:numId w:val="5"/>
        </w:numPr>
        <w:spacing w:before="280" w:after="280"/>
        <w:rPr>
          <w:sz w:val="24"/>
          <w:szCs w:val="24"/>
        </w:rPr>
      </w:pPr>
      <w:r w:rsidRPr="009B1DA4">
        <w:rPr>
          <w:b/>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9B1DA4">
        <w:rPr>
          <w:color w:val="000000"/>
          <w:sz w:val="24"/>
          <w:szCs w:val="24"/>
        </w:rPr>
        <w:t xml:space="preserve">: </w:t>
      </w:r>
      <w:r w:rsidRPr="009B1DA4">
        <w:rPr>
          <w:color w:val="000000"/>
          <w:sz w:val="24"/>
          <w:szCs w:val="24"/>
          <w:u w:val="single"/>
        </w:rPr>
        <w:t xml:space="preserve">Управління культури та туризму Коломийської міської ради </w:t>
      </w:r>
      <w:r w:rsidRPr="009B1DA4">
        <w:rPr>
          <w:sz w:val="24"/>
          <w:szCs w:val="24"/>
        </w:rPr>
        <w:t>78203, Україна, Івано-Франківська область, м. Коломия, вул. Театральна,27</w:t>
      </w:r>
      <w:r w:rsidRPr="009B1DA4">
        <w:rPr>
          <w:color w:val="000000"/>
          <w:sz w:val="24"/>
          <w:szCs w:val="24"/>
          <w:u w:val="single"/>
        </w:rPr>
        <w:t>, код 02006248, юридичні особи, які забезпечують потреби держави або територіальної громади.</w:t>
      </w:r>
    </w:p>
    <w:p w:rsidR="00AF6CFE" w:rsidRDefault="009E5DB7" w:rsidP="005864C8">
      <w:pPr>
        <w:pStyle w:val="a4"/>
        <w:numPr>
          <w:ilvl w:val="0"/>
          <w:numId w:val="5"/>
        </w:numPr>
        <w:tabs>
          <w:tab w:val="left" w:pos="385"/>
        </w:tabs>
        <w:spacing w:before="199" w:line="276" w:lineRule="auto"/>
        <w:ind w:right="118"/>
        <w:rPr>
          <w:b/>
          <w:sz w:val="24"/>
        </w:rPr>
      </w:pPr>
      <w:r>
        <w:rPr>
          <w:b/>
          <w:sz w:val="24"/>
        </w:rPr>
        <w:t>Назва предмета закупівлі із зазначенням коду за Єдиним закупівельним словником (у</w:t>
      </w:r>
      <w:r>
        <w:rPr>
          <w:b/>
          <w:spacing w:val="1"/>
          <w:sz w:val="24"/>
        </w:rPr>
        <w:t xml:space="preserve"> </w:t>
      </w:r>
      <w:r>
        <w:rPr>
          <w:b/>
          <w:sz w:val="24"/>
        </w:rPr>
        <w:t>разі поділу на лоти такі відомості повинні зазначатися стосовно кожного лота) та назви</w:t>
      </w:r>
      <w:r>
        <w:rPr>
          <w:b/>
          <w:spacing w:val="1"/>
          <w:sz w:val="24"/>
        </w:rPr>
        <w:t xml:space="preserve"> </w:t>
      </w:r>
      <w:r>
        <w:rPr>
          <w:b/>
          <w:sz w:val="24"/>
        </w:rPr>
        <w:t>відповідних класифікаторів</w:t>
      </w:r>
      <w:r>
        <w:rPr>
          <w:b/>
          <w:spacing w:val="1"/>
          <w:sz w:val="24"/>
        </w:rPr>
        <w:t xml:space="preserve"> </w:t>
      </w:r>
      <w:r>
        <w:rPr>
          <w:b/>
          <w:sz w:val="24"/>
        </w:rPr>
        <w:t>предмета закупівлі</w:t>
      </w:r>
      <w:r>
        <w:rPr>
          <w:b/>
          <w:spacing w:val="1"/>
          <w:sz w:val="24"/>
        </w:rPr>
        <w:t xml:space="preserve"> </w:t>
      </w:r>
      <w:r>
        <w:rPr>
          <w:b/>
          <w:sz w:val="24"/>
        </w:rPr>
        <w:t>і частин предмета закупівлі (лотів) (за</w:t>
      </w:r>
      <w:r>
        <w:rPr>
          <w:b/>
          <w:spacing w:val="1"/>
          <w:sz w:val="24"/>
        </w:rPr>
        <w:t xml:space="preserve"> </w:t>
      </w:r>
      <w:r>
        <w:rPr>
          <w:b/>
          <w:sz w:val="24"/>
        </w:rPr>
        <w:t xml:space="preserve">наявності): </w:t>
      </w:r>
      <w:r w:rsidR="005864C8" w:rsidRPr="005864C8">
        <w:rPr>
          <w:sz w:val="24"/>
        </w:rPr>
        <w:t>«Поточний ремонт з заміни вікон та дверей нежитлового приміщення за адресою:м.</w:t>
      </w:r>
      <w:r w:rsidR="008874DD">
        <w:rPr>
          <w:sz w:val="24"/>
        </w:rPr>
        <w:t xml:space="preserve"> </w:t>
      </w:r>
      <w:r w:rsidR="005864C8" w:rsidRPr="005864C8">
        <w:rPr>
          <w:sz w:val="24"/>
        </w:rPr>
        <w:t>Коломия, вул. Петлюри,11 (для облаштування місць тимчасового перебування внутрішньо переміщених та/або евакуйованих осіб)» код 45420000-7 Столярні та теслярні роботи за ДК 021:2015 «Єдиний закупівельний словник»</w:t>
      </w:r>
    </w:p>
    <w:p w:rsidR="00AF6CFE" w:rsidRDefault="009B1DA4">
      <w:pPr>
        <w:pStyle w:val="a4"/>
        <w:numPr>
          <w:ilvl w:val="0"/>
          <w:numId w:val="5"/>
        </w:numPr>
        <w:tabs>
          <w:tab w:val="left" w:pos="361"/>
        </w:tabs>
        <w:spacing w:before="198"/>
        <w:ind w:left="360" w:hanging="245"/>
        <w:rPr>
          <w:sz w:val="24"/>
        </w:rPr>
      </w:pPr>
      <w:r w:rsidRPr="009B1DA4">
        <w:rPr>
          <w:b/>
          <w:sz w:val="24"/>
        </w:rPr>
        <w:t>Вид</w:t>
      </w:r>
      <w:r>
        <w:rPr>
          <w:b/>
          <w:sz w:val="24"/>
        </w:rPr>
        <w:t xml:space="preserve"> та </w:t>
      </w:r>
      <w:r w:rsidRPr="009B1DA4">
        <w:rPr>
          <w:b/>
          <w:sz w:val="24"/>
        </w:rPr>
        <w:t xml:space="preserve"> </w:t>
      </w:r>
      <w:r>
        <w:rPr>
          <w:b/>
          <w:sz w:val="24"/>
        </w:rPr>
        <w:t>і</w:t>
      </w:r>
      <w:r w:rsidR="009E5DB7">
        <w:rPr>
          <w:b/>
          <w:sz w:val="24"/>
        </w:rPr>
        <w:t>дентифікатор</w:t>
      </w:r>
      <w:r w:rsidR="009E5DB7">
        <w:rPr>
          <w:b/>
          <w:spacing w:val="-6"/>
          <w:sz w:val="24"/>
        </w:rPr>
        <w:t xml:space="preserve"> </w:t>
      </w:r>
      <w:r w:rsidR="009E5DB7">
        <w:rPr>
          <w:b/>
          <w:sz w:val="24"/>
        </w:rPr>
        <w:t>закупівлі</w:t>
      </w:r>
      <w:r w:rsidR="009E5DB7">
        <w:rPr>
          <w:sz w:val="24"/>
        </w:rPr>
        <w:t>:</w:t>
      </w:r>
      <w:r w:rsidR="009E5DB7">
        <w:rPr>
          <w:spacing w:val="-10"/>
          <w:sz w:val="24"/>
        </w:rPr>
        <w:t xml:space="preserve"> </w:t>
      </w:r>
      <w:r>
        <w:rPr>
          <w:spacing w:val="-10"/>
          <w:sz w:val="24"/>
        </w:rPr>
        <w:t xml:space="preserve"> </w:t>
      </w:r>
      <w:r w:rsidRPr="009B1DA4">
        <w:rPr>
          <w:color w:val="000000"/>
          <w:sz w:val="24"/>
          <w:szCs w:val="24"/>
          <w:u w:val="single"/>
          <w:lang w:eastAsia="uk-UA"/>
        </w:rPr>
        <w:t>Відкриті торги з особливостями</w:t>
      </w:r>
      <w:r w:rsidRPr="005864C8">
        <w:rPr>
          <w:sz w:val="24"/>
        </w:rPr>
        <w:t xml:space="preserve"> </w:t>
      </w:r>
      <w:r w:rsidR="005864C8" w:rsidRPr="005864C8">
        <w:rPr>
          <w:sz w:val="24"/>
        </w:rPr>
        <w:t>UA-2023-09-19-015045-a</w:t>
      </w:r>
    </w:p>
    <w:p w:rsidR="00AF6CFE" w:rsidRDefault="00AF6CFE">
      <w:pPr>
        <w:pStyle w:val="a3"/>
        <w:spacing w:before="1"/>
        <w:ind w:left="0"/>
        <w:jc w:val="left"/>
        <w:rPr>
          <w:sz w:val="21"/>
        </w:rPr>
      </w:pPr>
    </w:p>
    <w:p w:rsidR="00AF6CFE" w:rsidRDefault="009E5DB7" w:rsidP="009B1DA4">
      <w:pPr>
        <w:pStyle w:val="a4"/>
        <w:numPr>
          <w:ilvl w:val="0"/>
          <w:numId w:val="5"/>
        </w:numPr>
        <w:tabs>
          <w:tab w:val="left" w:pos="448"/>
        </w:tabs>
        <w:spacing w:line="276" w:lineRule="auto"/>
        <w:ind w:right="121" w:firstLine="0"/>
        <w:rPr>
          <w:sz w:val="24"/>
        </w:rPr>
      </w:pPr>
      <w:r>
        <w:rPr>
          <w:b/>
          <w:sz w:val="24"/>
        </w:rPr>
        <w:t>Обґрунтування</w:t>
      </w:r>
      <w:r>
        <w:rPr>
          <w:b/>
          <w:spacing w:val="1"/>
          <w:sz w:val="24"/>
        </w:rPr>
        <w:t xml:space="preserve"> </w:t>
      </w:r>
      <w:r>
        <w:rPr>
          <w:b/>
          <w:sz w:val="24"/>
        </w:rPr>
        <w:t>технічних</w:t>
      </w:r>
      <w:r>
        <w:rPr>
          <w:b/>
          <w:spacing w:val="1"/>
          <w:sz w:val="24"/>
        </w:rPr>
        <w:t xml:space="preserve"> </w:t>
      </w:r>
      <w:r>
        <w:rPr>
          <w:b/>
          <w:sz w:val="24"/>
        </w:rPr>
        <w:t>та</w:t>
      </w:r>
      <w:r>
        <w:rPr>
          <w:b/>
          <w:spacing w:val="1"/>
          <w:sz w:val="24"/>
        </w:rPr>
        <w:t xml:space="preserve"> </w:t>
      </w:r>
      <w:r>
        <w:rPr>
          <w:b/>
          <w:sz w:val="24"/>
        </w:rPr>
        <w:t>якісних</w:t>
      </w:r>
      <w:r>
        <w:rPr>
          <w:b/>
          <w:spacing w:val="1"/>
          <w:sz w:val="24"/>
        </w:rPr>
        <w:t xml:space="preserve"> </w:t>
      </w:r>
      <w:r>
        <w:rPr>
          <w:b/>
          <w:sz w:val="24"/>
        </w:rPr>
        <w:t>характеристик</w:t>
      </w:r>
      <w:r>
        <w:rPr>
          <w:b/>
          <w:spacing w:val="1"/>
          <w:sz w:val="24"/>
        </w:rPr>
        <w:t xml:space="preserve"> </w:t>
      </w:r>
      <w:r>
        <w:rPr>
          <w:b/>
          <w:sz w:val="24"/>
        </w:rPr>
        <w:t>предмета</w:t>
      </w:r>
      <w:r>
        <w:rPr>
          <w:b/>
          <w:spacing w:val="1"/>
          <w:sz w:val="24"/>
        </w:rPr>
        <w:t xml:space="preserve"> </w:t>
      </w:r>
      <w:r>
        <w:rPr>
          <w:b/>
          <w:sz w:val="24"/>
        </w:rPr>
        <w:t>закупівлі:</w:t>
      </w:r>
      <w:r>
        <w:rPr>
          <w:b/>
          <w:spacing w:val="1"/>
          <w:sz w:val="24"/>
        </w:rPr>
        <w:t xml:space="preserve"> </w:t>
      </w:r>
      <w:r>
        <w:rPr>
          <w:sz w:val="24"/>
        </w:rPr>
        <w:t>Закупівля</w:t>
      </w:r>
      <w:r>
        <w:rPr>
          <w:spacing w:val="1"/>
          <w:sz w:val="24"/>
        </w:rPr>
        <w:t xml:space="preserve"> </w:t>
      </w:r>
      <w:r>
        <w:rPr>
          <w:sz w:val="24"/>
        </w:rPr>
        <w:t>послуг</w:t>
      </w:r>
      <w:r>
        <w:rPr>
          <w:spacing w:val="1"/>
          <w:sz w:val="24"/>
        </w:rPr>
        <w:t xml:space="preserve"> </w:t>
      </w:r>
      <w:r>
        <w:rPr>
          <w:sz w:val="24"/>
        </w:rPr>
        <w:t>–</w:t>
      </w:r>
      <w:r>
        <w:rPr>
          <w:spacing w:val="1"/>
          <w:sz w:val="24"/>
        </w:rPr>
        <w:t xml:space="preserve"> </w:t>
      </w:r>
      <w:r w:rsidR="005864C8" w:rsidRPr="005864C8">
        <w:rPr>
          <w:sz w:val="24"/>
        </w:rPr>
        <w:t>Поточний ремонт з заміни вікон та дверей нежитлового приміщення за адресою:м.</w:t>
      </w:r>
      <w:r w:rsidR="008874DD">
        <w:rPr>
          <w:sz w:val="24"/>
        </w:rPr>
        <w:t xml:space="preserve"> </w:t>
      </w:r>
      <w:r w:rsidR="005864C8" w:rsidRPr="005864C8">
        <w:rPr>
          <w:sz w:val="24"/>
        </w:rPr>
        <w:t>Коломия, вул. Петлюри,11 (для облаштування місць тимчасового перебування внутрішньо переміщених та/або евакуйованих осіб)</w:t>
      </w:r>
      <w:r>
        <w:rPr>
          <w:sz w:val="24"/>
        </w:rPr>
        <w:t>.</w:t>
      </w:r>
      <w:r>
        <w:rPr>
          <w:spacing w:val="1"/>
          <w:sz w:val="24"/>
        </w:rPr>
        <w:t xml:space="preserve"> </w:t>
      </w:r>
      <w:r>
        <w:rPr>
          <w:sz w:val="24"/>
        </w:rPr>
        <w:t>Обґрунтування</w:t>
      </w:r>
      <w:r>
        <w:rPr>
          <w:spacing w:val="1"/>
          <w:sz w:val="24"/>
        </w:rPr>
        <w:t xml:space="preserve"> </w:t>
      </w:r>
      <w:r>
        <w:rPr>
          <w:sz w:val="24"/>
        </w:rPr>
        <w:t>технічних</w:t>
      </w:r>
      <w:r>
        <w:rPr>
          <w:spacing w:val="1"/>
          <w:sz w:val="24"/>
        </w:rPr>
        <w:t xml:space="preserve"> </w:t>
      </w:r>
      <w:r>
        <w:rPr>
          <w:sz w:val="24"/>
        </w:rPr>
        <w:t>та</w:t>
      </w:r>
      <w:r>
        <w:rPr>
          <w:spacing w:val="1"/>
          <w:sz w:val="24"/>
        </w:rPr>
        <w:t xml:space="preserve"> </w:t>
      </w:r>
      <w:r>
        <w:rPr>
          <w:sz w:val="24"/>
        </w:rPr>
        <w:t>якісних</w:t>
      </w:r>
      <w:r>
        <w:rPr>
          <w:spacing w:val="1"/>
          <w:sz w:val="24"/>
        </w:rPr>
        <w:t xml:space="preserve"> </w:t>
      </w:r>
      <w:r>
        <w:rPr>
          <w:sz w:val="24"/>
        </w:rPr>
        <w:t>характеристик</w:t>
      </w:r>
      <w:r>
        <w:rPr>
          <w:spacing w:val="47"/>
          <w:sz w:val="24"/>
        </w:rPr>
        <w:t xml:space="preserve"> </w:t>
      </w:r>
      <w:r>
        <w:rPr>
          <w:sz w:val="24"/>
        </w:rPr>
        <w:t>предмета</w:t>
      </w:r>
      <w:r>
        <w:rPr>
          <w:spacing w:val="48"/>
          <w:sz w:val="24"/>
        </w:rPr>
        <w:t xml:space="preserve"> </w:t>
      </w:r>
      <w:r>
        <w:rPr>
          <w:sz w:val="24"/>
        </w:rPr>
        <w:t>закупівлі</w:t>
      </w:r>
      <w:r>
        <w:rPr>
          <w:spacing w:val="39"/>
          <w:sz w:val="24"/>
        </w:rPr>
        <w:t xml:space="preserve"> </w:t>
      </w:r>
      <w:r>
        <w:rPr>
          <w:sz w:val="24"/>
        </w:rPr>
        <w:t>здійснено</w:t>
      </w:r>
      <w:r>
        <w:rPr>
          <w:spacing w:val="53"/>
          <w:sz w:val="24"/>
        </w:rPr>
        <w:t xml:space="preserve"> </w:t>
      </w:r>
      <w:r>
        <w:rPr>
          <w:sz w:val="24"/>
        </w:rPr>
        <w:t>на</w:t>
      </w:r>
      <w:r>
        <w:rPr>
          <w:spacing w:val="47"/>
          <w:sz w:val="24"/>
        </w:rPr>
        <w:t xml:space="preserve"> </w:t>
      </w:r>
      <w:r>
        <w:rPr>
          <w:sz w:val="24"/>
        </w:rPr>
        <w:t>підставі</w:t>
      </w:r>
      <w:r>
        <w:rPr>
          <w:spacing w:val="39"/>
          <w:sz w:val="24"/>
        </w:rPr>
        <w:t xml:space="preserve"> </w:t>
      </w:r>
      <w:r>
        <w:rPr>
          <w:sz w:val="24"/>
        </w:rPr>
        <w:t>затвердженого</w:t>
      </w:r>
      <w:r>
        <w:rPr>
          <w:spacing w:val="53"/>
          <w:sz w:val="24"/>
        </w:rPr>
        <w:t xml:space="preserve"> </w:t>
      </w:r>
      <w:r>
        <w:rPr>
          <w:sz w:val="24"/>
        </w:rPr>
        <w:t>дефектного</w:t>
      </w:r>
      <w:r>
        <w:rPr>
          <w:spacing w:val="53"/>
          <w:sz w:val="24"/>
        </w:rPr>
        <w:t xml:space="preserve"> </w:t>
      </w:r>
      <w:r>
        <w:rPr>
          <w:sz w:val="24"/>
        </w:rPr>
        <w:t>акту</w:t>
      </w:r>
    </w:p>
    <w:p w:rsidR="00AF6CFE" w:rsidRDefault="009E5DB7" w:rsidP="009B1DA4">
      <w:pPr>
        <w:pStyle w:val="a3"/>
        <w:spacing w:line="278" w:lineRule="auto"/>
        <w:ind w:right="129"/>
      </w:pPr>
      <w:r>
        <w:t>«</w:t>
      </w:r>
      <w:r w:rsidR="005864C8" w:rsidRPr="005864C8">
        <w:t>Поточний ремонт з заміни вікон та дверей нежитлового приміщення за адресою:м.</w:t>
      </w:r>
      <w:r w:rsidR="005864C8">
        <w:t xml:space="preserve"> </w:t>
      </w:r>
      <w:r w:rsidR="005864C8" w:rsidRPr="005864C8">
        <w:t>Коломия, вул. Петлюри,11 (для облаштування місць тимчасового перебування внутрішньо переміщених та/або евакуйованих осіб)</w:t>
      </w:r>
      <w:r>
        <w:t>».</w:t>
      </w:r>
    </w:p>
    <w:p w:rsidR="008874DD" w:rsidRDefault="009E5DB7" w:rsidP="008874DD">
      <w:pPr>
        <w:pStyle w:val="a3"/>
        <w:spacing w:before="194" w:line="276" w:lineRule="auto"/>
        <w:ind w:right="114" w:firstLine="706"/>
      </w:pPr>
      <w:r>
        <w:t>Технічні та якісні характеристики предмета закупівлі сформовано відповідно до потреб</w:t>
      </w:r>
      <w:r>
        <w:rPr>
          <w:spacing w:val="1"/>
        </w:rPr>
        <w:t xml:space="preserve"> </w:t>
      </w:r>
      <w:r>
        <w:t>Замовника,</w:t>
      </w:r>
      <w:r>
        <w:rPr>
          <w:spacing w:val="1"/>
        </w:rPr>
        <w:t xml:space="preserve"> </w:t>
      </w:r>
      <w:r>
        <w:t>визначено</w:t>
      </w:r>
      <w:r>
        <w:rPr>
          <w:spacing w:val="1"/>
        </w:rPr>
        <w:t xml:space="preserve"> </w:t>
      </w:r>
      <w:r>
        <w:t>проектно-кошторисною</w:t>
      </w:r>
      <w:r>
        <w:rPr>
          <w:spacing w:val="1"/>
        </w:rPr>
        <w:t xml:space="preserve"> </w:t>
      </w:r>
      <w:r>
        <w:t>документацією</w:t>
      </w:r>
      <w:r>
        <w:rPr>
          <w:spacing w:val="1"/>
        </w:rPr>
        <w:t xml:space="preserve"> </w:t>
      </w:r>
      <w:r>
        <w:t>та</w:t>
      </w:r>
      <w:r>
        <w:rPr>
          <w:spacing w:val="1"/>
        </w:rPr>
        <w:t xml:space="preserve"> </w:t>
      </w:r>
      <w:r>
        <w:t>Додатком</w:t>
      </w:r>
      <w:r>
        <w:rPr>
          <w:spacing w:val="1"/>
        </w:rPr>
        <w:t xml:space="preserve"> </w:t>
      </w:r>
      <w:r>
        <w:t>2</w:t>
      </w:r>
      <w:r>
        <w:rPr>
          <w:spacing w:val="1"/>
        </w:rPr>
        <w:t xml:space="preserve"> </w:t>
      </w:r>
      <w:r>
        <w:t>до</w:t>
      </w:r>
      <w:r>
        <w:rPr>
          <w:spacing w:val="1"/>
        </w:rPr>
        <w:t xml:space="preserve"> </w:t>
      </w:r>
      <w:r>
        <w:t>Тендерної</w:t>
      </w:r>
      <w:r>
        <w:rPr>
          <w:spacing w:val="1"/>
        </w:rPr>
        <w:t xml:space="preserve"> </w:t>
      </w:r>
      <w:r>
        <w:t>документації.</w:t>
      </w:r>
    </w:p>
    <w:p w:rsidR="008874DD" w:rsidRDefault="008874DD">
      <w:pPr>
        <w:pStyle w:val="a3"/>
        <w:spacing w:before="200" w:line="276" w:lineRule="auto"/>
        <w:ind w:right="114" w:firstLine="706"/>
      </w:pPr>
    </w:p>
    <w:p w:rsidR="008874DD" w:rsidRDefault="008874DD" w:rsidP="008874DD">
      <w:pPr>
        <w:pStyle w:val="a3"/>
        <w:spacing w:before="200" w:line="276" w:lineRule="auto"/>
        <w:ind w:right="114"/>
      </w:pPr>
      <w:r w:rsidRPr="008874DD">
        <w:rPr>
          <w:b/>
          <w:bCs/>
          <w:color w:val="080000"/>
          <w:lang w:eastAsia="ru-RU"/>
        </w:rPr>
        <w:t>ТЕХНІЧНІ ВИМОГИ ДО БУДІВЕЛЬНИХ МАТЕР</w:t>
      </w:r>
      <w:r w:rsidRPr="008874DD">
        <w:rPr>
          <w:b/>
          <w:bCs/>
          <w:color w:val="080000"/>
          <w:lang w:val="ru-RU" w:eastAsia="ru-RU"/>
        </w:rPr>
        <w:t>I</w:t>
      </w:r>
      <w:r w:rsidRPr="008874DD">
        <w:rPr>
          <w:b/>
          <w:bCs/>
          <w:color w:val="080000"/>
          <w:lang w:eastAsia="ru-RU"/>
        </w:rPr>
        <w:t>АЛІВ, ВИРОБІВ ТА КОНСТРУКЦ</w:t>
      </w:r>
      <w:r w:rsidRPr="008874DD">
        <w:rPr>
          <w:b/>
          <w:bCs/>
          <w:color w:val="080000"/>
          <w:lang w:val="ru-RU" w:eastAsia="ru-RU"/>
        </w:rPr>
        <w:t>I</w:t>
      </w:r>
      <w:r w:rsidRPr="008874DD">
        <w:rPr>
          <w:b/>
          <w:bCs/>
          <w:color w:val="080000"/>
          <w:lang w:eastAsia="ru-RU"/>
        </w:rPr>
        <w:t>Й</w:t>
      </w:r>
    </w:p>
    <w:p w:rsidR="005864C8" w:rsidRPr="005864C8" w:rsidRDefault="005864C8" w:rsidP="005864C8">
      <w:pPr>
        <w:autoSpaceDE/>
        <w:autoSpaceDN/>
        <w:rPr>
          <w:b/>
          <w:bCs/>
          <w:color w:val="080000"/>
          <w:sz w:val="24"/>
          <w:szCs w:val="24"/>
          <w:lang w:eastAsia="ru-RU"/>
        </w:rPr>
      </w:pPr>
    </w:p>
    <w:p w:rsidR="005864C8" w:rsidRPr="005864C8" w:rsidRDefault="005864C8" w:rsidP="005864C8">
      <w:pPr>
        <w:widowControl/>
        <w:numPr>
          <w:ilvl w:val="0"/>
          <w:numId w:val="6"/>
        </w:numPr>
        <w:autoSpaceDE/>
        <w:autoSpaceDN/>
        <w:spacing w:after="160" w:line="259" w:lineRule="auto"/>
        <w:ind w:left="0" w:firstLine="0"/>
        <w:jc w:val="both"/>
        <w:rPr>
          <w:rFonts w:eastAsia="Calibri"/>
          <w:sz w:val="24"/>
          <w:szCs w:val="24"/>
          <w:lang w:eastAsia="ru-RU"/>
        </w:rPr>
      </w:pPr>
      <w:r w:rsidRPr="005864C8">
        <w:rPr>
          <w:rFonts w:eastAsia="Calibri"/>
          <w:sz w:val="24"/>
          <w:szCs w:val="24"/>
          <w:lang w:eastAsia="ru-RU"/>
        </w:rPr>
        <w:t xml:space="preserve">Склопакети 2-х камерні, товщиною 32 мм або більше, з застосуванням скла з енергозберігаючим </w:t>
      </w:r>
      <w:proofErr w:type="spellStart"/>
      <w:r w:rsidRPr="005864C8">
        <w:rPr>
          <w:rFonts w:eastAsia="Calibri"/>
          <w:sz w:val="24"/>
          <w:szCs w:val="24"/>
          <w:lang w:eastAsia="ru-RU"/>
        </w:rPr>
        <w:t>напиленням</w:t>
      </w:r>
      <w:proofErr w:type="spellEnd"/>
      <w:r w:rsidRPr="005864C8">
        <w:rPr>
          <w:rFonts w:eastAsia="Calibri"/>
          <w:sz w:val="24"/>
          <w:szCs w:val="24"/>
          <w:lang w:eastAsia="ru-RU"/>
        </w:rPr>
        <w:t>, камери заповнені аргоном, до прикладу 4і-10ar-4-10ar-4і. Профільні системи, з монтажною шириною не менше 68 мм матеріал сосна, модрина.</w:t>
      </w:r>
    </w:p>
    <w:p w:rsidR="005864C8" w:rsidRPr="005864C8" w:rsidRDefault="005864C8" w:rsidP="005864C8">
      <w:pPr>
        <w:widowControl/>
        <w:numPr>
          <w:ilvl w:val="0"/>
          <w:numId w:val="6"/>
        </w:numPr>
        <w:autoSpaceDE/>
        <w:autoSpaceDN/>
        <w:spacing w:after="160" w:line="259" w:lineRule="auto"/>
        <w:ind w:left="0" w:firstLine="0"/>
        <w:jc w:val="both"/>
        <w:rPr>
          <w:rFonts w:eastAsia="Calibri"/>
          <w:sz w:val="24"/>
          <w:szCs w:val="24"/>
          <w:lang w:eastAsia="ru-RU"/>
        </w:rPr>
      </w:pPr>
      <w:r w:rsidRPr="005864C8">
        <w:rPr>
          <w:rFonts w:eastAsia="Calibri"/>
          <w:sz w:val="24"/>
          <w:szCs w:val="24"/>
          <w:lang w:eastAsia="ru-RU"/>
        </w:rPr>
        <w:t>У конструкціях згідно ДСТУ Б В.2.6-24-2001 Конструкції будинків і споруд. Блоки віконні дерев’яні зі склопакетами</w:t>
      </w:r>
      <w:r w:rsidR="009E5DB7">
        <w:rPr>
          <w:rFonts w:eastAsia="Calibri"/>
          <w:sz w:val="24"/>
          <w:szCs w:val="24"/>
          <w:lang w:eastAsia="ru-RU"/>
        </w:rPr>
        <w:t xml:space="preserve"> </w:t>
      </w:r>
      <w:r w:rsidRPr="005864C8">
        <w:rPr>
          <w:rFonts w:eastAsia="Calibri"/>
          <w:sz w:val="24"/>
          <w:szCs w:val="24"/>
          <w:lang w:eastAsia="ru-RU"/>
        </w:rPr>
        <w:t>має бути передбачено не менше двох контурів упорного ущільнення по периметру притулу, в тому числі в області порогів вхідних дверей. Переваги при виборі матеріалу ущільнення мають бути надані ЕПДМ (</w:t>
      </w:r>
      <w:proofErr w:type="spellStart"/>
      <w:r w:rsidRPr="005864C8">
        <w:rPr>
          <w:rFonts w:eastAsia="Calibri"/>
          <w:sz w:val="24"/>
          <w:szCs w:val="24"/>
          <w:lang w:eastAsia="ru-RU"/>
        </w:rPr>
        <w:t>етіленпропілендієнмономіри</w:t>
      </w:r>
      <w:proofErr w:type="spellEnd"/>
      <w:r w:rsidRPr="005864C8">
        <w:rPr>
          <w:rFonts w:eastAsia="Calibri"/>
          <w:sz w:val="24"/>
          <w:szCs w:val="24"/>
          <w:lang w:eastAsia="ru-RU"/>
        </w:rPr>
        <w:t>), що дозволені до застосування в ЄС.</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 xml:space="preserve">2. Вироби мають бути сертифіковані в Україні, та супроводжуватися «Паспортом на виріб» </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 xml:space="preserve">3. Перевагу має бути надано застосуванню систем дозволених до застосування в ЄС, та включених до реєстру </w:t>
      </w:r>
      <w:proofErr w:type="spellStart"/>
      <w:r w:rsidRPr="005864C8">
        <w:rPr>
          <w:rFonts w:eastAsia="Calibri"/>
          <w:sz w:val="24"/>
          <w:szCs w:val="24"/>
          <w:lang w:eastAsia="ru-RU"/>
        </w:rPr>
        <w:t>енергоефективних</w:t>
      </w:r>
      <w:proofErr w:type="spellEnd"/>
      <w:r w:rsidRPr="005864C8">
        <w:rPr>
          <w:rFonts w:eastAsia="Calibri"/>
          <w:sz w:val="24"/>
          <w:szCs w:val="24"/>
          <w:lang w:eastAsia="ru-RU"/>
        </w:rPr>
        <w:t xml:space="preserve"> продуктів та технологій. </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4. Опір теплопередачі віконних конструкцій – не менше 0,9 Вт/м0С., дверних не менше 0,7Вт/</w:t>
      </w:r>
      <w:proofErr w:type="spellStart"/>
      <w:r w:rsidRPr="005864C8">
        <w:rPr>
          <w:rFonts w:eastAsia="Calibri"/>
          <w:sz w:val="24"/>
          <w:szCs w:val="24"/>
          <w:lang w:eastAsia="ru-RU"/>
        </w:rPr>
        <w:t>мОС</w:t>
      </w:r>
      <w:proofErr w:type="spellEnd"/>
      <w:r w:rsidRPr="005864C8">
        <w:rPr>
          <w:rFonts w:eastAsia="Calibri"/>
          <w:sz w:val="24"/>
          <w:szCs w:val="24"/>
          <w:lang w:eastAsia="ru-RU"/>
        </w:rPr>
        <w:t>. підтверджено  протоколами випробувань</w:t>
      </w:r>
      <w:r w:rsidR="00C331C7">
        <w:rPr>
          <w:rFonts w:eastAsia="Calibri"/>
          <w:sz w:val="24"/>
          <w:szCs w:val="24"/>
          <w:lang w:eastAsia="ru-RU"/>
        </w:rPr>
        <w:t>.</w:t>
      </w:r>
      <w:bookmarkStart w:id="0" w:name="_GoBack"/>
      <w:bookmarkEnd w:id="0"/>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lastRenderedPageBreak/>
        <w:t xml:space="preserve">5. Склопакети мають відповідати вимогам ДСТУ Б В.2.7-107:2008 «Склопакети клеєні будівельного призначення. Технічні вимоги». Вибір товщини та типу скла має здійснюватися на підставі вимог ДСТУ- Н Б В.2.6-83:2009 «Настанова з проектування світлопрозорих елементів огороджувальних конструкцій». Застосування скла товщиною менше ніж 4 мм не допускається. Розливи первинного контуру герметизації не допускається. Застосування у якості вторинного контуру герметизації силікону не допускається. Виробник склопакетів має використовувати матеріали дозволені до застосування в ЄС, що підтверджується сертифікатом відповідності </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6. При виборі фурнітури рекомендовано застосовувати якісну фурнітуру, що підтверджується сертифікатом відповідності.</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 xml:space="preserve">7. Клас за показником звукоізоляції конструкції встановлюється згідно ДСТУ Б В.2.6-23:2009 «Блоки віконні та дверні. Загальні технічні умови» та підтверджується в паспорті на виріб. </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8. Монтажний шов має відповідати вимогам ДСТУ Б В.2.6-79:2009 « Шви з’єднувальні місць примикань віконних блоків до конструкцій стін. Загальні технічні умови», та ДСТУ-Н Б В.2.6-146:2010 «Настанова щодо проектування і улаштування вікон та дверей», зокрема:</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 Розміри монтажних зазорів між стіновим прорізом та конструкцією мають відповідати вимогам наведених в зазначених нормативних документів.</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 Схеми кріплення мають забезпечувати надійну передачу навантажень, що виникають протягом експлуатації конструкції, від конструкції до стінового прорізу, та відповідати вимогам встановленим в вищезазначених нормативних документах.</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 Шви з’єднувальні мають бути суцільними та безперервними.</w:t>
      </w:r>
    </w:p>
    <w:p w:rsidR="005864C8" w:rsidRPr="005864C8" w:rsidRDefault="005864C8" w:rsidP="005864C8">
      <w:pPr>
        <w:widowControl/>
        <w:autoSpaceDE/>
        <w:autoSpaceDN/>
        <w:jc w:val="both"/>
        <w:rPr>
          <w:rFonts w:eastAsia="Calibri"/>
          <w:sz w:val="24"/>
          <w:szCs w:val="24"/>
          <w:lang w:eastAsia="ru-RU"/>
        </w:rPr>
      </w:pPr>
      <w:r w:rsidRPr="005864C8">
        <w:rPr>
          <w:rFonts w:eastAsia="Calibri"/>
          <w:sz w:val="24"/>
          <w:szCs w:val="24"/>
          <w:lang w:eastAsia="ru-RU"/>
        </w:rPr>
        <w:t>-  Після поставки виробів підрядник зобов'язаний надати на кожну конструкцію паспорта виробів. Паспорт на виріб надається разом з товаром. Гарантійний строк експлуатації віконних та дверних конструкцій повинен складати не менше 5 років з дати поставки Товару. Учасник у складі тендерної пропозиції повинен надати лист із зазначенням гарантійного строку експлуатації на запропонований товар та зобов'язання Учасника щодо здійснення гарантійного обслуговування за власний рахунок на протязі гарантійного терміну експлуатації товару, що є предметом закупівлі.</w:t>
      </w:r>
    </w:p>
    <w:p w:rsidR="00AF6CFE" w:rsidRDefault="00AF6CFE">
      <w:pPr>
        <w:pStyle w:val="a3"/>
        <w:spacing w:before="10"/>
        <w:ind w:left="0"/>
        <w:jc w:val="left"/>
        <w:rPr>
          <w:sz w:val="23"/>
        </w:rPr>
      </w:pPr>
    </w:p>
    <w:p w:rsidR="00C331C7" w:rsidRDefault="009E5DB7">
      <w:pPr>
        <w:pStyle w:val="a4"/>
        <w:numPr>
          <w:ilvl w:val="0"/>
          <w:numId w:val="1"/>
        </w:numPr>
        <w:tabs>
          <w:tab w:val="left" w:pos="462"/>
        </w:tabs>
        <w:spacing w:line="276" w:lineRule="auto"/>
        <w:ind w:right="117" w:firstLine="0"/>
        <w:rPr>
          <w:sz w:val="24"/>
        </w:rPr>
      </w:pPr>
      <w:r>
        <w:rPr>
          <w:b/>
          <w:sz w:val="24"/>
        </w:rPr>
        <w:t>Обґрунтування</w:t>
      </w:r>
      <w:r>
        <w:rPr>
          <w:b/>
          <w:spacing w:val="1"/>
          <w:sz w:val="24"/>
        </w:rPr>
        <w:t xml:space="preserve"> </w:t>
      </w:r>
      <w:r>
        <w:rPr>
          <w:b/>
          <w:sz w:val="24"/>
        </w:rPr>
        <w:t>розміру</w:t>
      </w:r>
      <w:r>
        <w:rPr>
          <w:b/>
          <w:spacing w:val="1"/>
          <w:sz w:val="24"/>
        </w:rPr>
        <w:t xml:space="preserve"> </w:t>
      </w:r>
      <w:r>
        <w:rPr>
          <w:b/>
          <w:sz w:val="24"/>
        </w:rPr>
        <w:t>бюджетного</w:t>
      </w:r>
      <w:r>
        <w:rPr>
          <w:b/>
          <w:spacing w:val="1"/>
          <w:sz w:val="24"/>
        </w:rPr>
        <w:t xml:space="preserve"> </w:t>
      </w:r>
      <w:r>
        <w:rPr>
          <w:b/>
          <w:sz w:val="24"/>
        </w:rPr>
        <w:t>призначення</w:t>
      </w:r>
      <w:r>
        <w:rPr>
          <w:sz w:val="24"/>
        </w:rPr>
        <w:t>:</w:t>
      </w:r>
      <w:r>
        <w:rPr>
          <w:spacing w:val="1"/>
          <w:sz w:val="24"/>
        </w:rPr>
        <w:t xml:space="preserve"> </w:t>
      </w:r>
      <w:r>
        <w:rPr>
          <w:sz w:val="24"/>
        </w:rPr>
        <w:t>розмір</w:t>
      </w:r>
      <w:r>
        <w:rPr>
          <w:spacing w:val="1"/>
          <w:sz w:val="24"/>
        </w:rPr>
        <w:t xml:space="preserve"> </w:t>
      </w:r>
      <w:r>
        <w:rPr>
          <w:sz w:val="24"/>
        </w:rPr>
        <w:t>бюджетного</w:t>
      </w:r>
      <w:r>
        <w:rPr>
          <w:spacing w:val="1"/>
          <w:sz w:val="24"/>
        </w:rPr>
        <w:t xml:space="preserve"> </w:t>
      </w:r>
      <w:r>
        <w:rPr>
          <w:sz w:val="24"/>
        </w:rPr>
        <w:t>призначення,</w:t>
      </w:r>
      <w:r>
        <w:rPr>
          <w:spacing w:val="1"/>
          <w:sz w:val="24"/>
        </w:rPr>
        <w:t xml:space="preserve"> </w:t>
      </w:r>
      <w:r>
        <w:rPr>
          <w:sz w:val="24"/>
        </w:rPr>
        <w:t>визначений</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розрахунку</w:t>
      </w:r>
      <w:r>
        <w:rPr>
          <w:spacing w:val="1"/>
          <w:sz w:val="24"/>
        </w:rPr>
        <w:t xml:space="preserve"> </w:t>
      </w:r>
      <w:r>
        <w:rPr>
          <w:sz w:val="24"/>
        </w:rPr>
        <w:t>кошторису</w:t>
      </w:r>
      <w:r>
        <w:rPr>
          <w:spacing w:val="1"/>
          <w:sz w:val="24"/>
        </w:rPr>
        <w:t xml:space="preserve"> </w:t>
      </w:r>
      <w:r>
        <w:rPr>
          <w:sz w:val="24"/>
        </w:rPr>
        <w:t>на</w:t>
      </w:r>
      <w:r>
        <w:rPr>
          <w:spacing w:val="1"/>
          <w:sz w:val="24"/>
        </w:rPr>
        <w:t xml:space="preserve"> </w:t>
      </w:r>
      <w:r>
        <w:rPr>
          <w:sz w:val="24"/>
        </w:rPr>
        <w:t>2023</w:t>
      </w:r>
      <w:r>
        <w:rPr>
          <w:spacing w:val="1"/>
          <w:sz w:val="24"/>
        </w:rPr>
        <w:t xml:space="preserve"> </w:t>
      </w:r>
      <w:r>
        <w:rPr>
          <w:sz w:val="24"/>
        </w:rPr>
        <w:t>рік,</w:t>
      </w:r>
      <w:r>
        <w:rPr>
          <w:spacing w:val="1"/>
          <w:sz w:val="24"/>
        </w:rPr>
        <w:t xml:space="preserve"> </w:t>
      </w:r>
      <w:r>
        <w:rPr>
          <w:sz w:val="24"/>
        </w:rPr>
        <w:t>становить</w:t>
      </w:r>
      <w:r>
        <w:rPr>
          <w:spacing w:val="1"/>
          <w:sz w:val="24"/>
        </w:rPr>
        <w:t xml:space="preserve"> </w:t>
      </w:r>
      <w:r w:rsidR="008874DD">
        <w:rPr>
          <w:sz w:val="24"/>
        </w:rPr>
        <w:t>2 150 000</w:t>
      </w:r>
      <w:r>
        <w:rPr>
          <w:sz w:val="24"/>
        </w:rPr>
        <w:t>,00</w:t>
      </w:r>
      <w:r>
        <w:rPr>
          <w:spacing w:val="1"/>
          <w:sz w:val="24"/>
        </w:rPr>
        <w:t xml:space="preserve"> </w:t>
      </w:r>
      <w:r>
        <w:rPr>
          <w:sz w:val="24"/>
        </w:rPr>
        <w:t>грн.</w:t>
      </w:r>
      <w:r>
        <w:rPr>
          <w:spacing w:val="1"/>
          <w:sz w:val="24"/>
        </w:rPr>
        <w:t xml:space="preserve"> </w:t>
      </w:r>
    </w:p>
    <w:p w:rsidR="00AF6CFE" w:rsidRDefault="009E5DB7" w:rsidP="00C331C7">
      <w:pPr>
        <w:pStyle w:val="a4"/>
        <w:tabs>
          <w:tab w:val="left" w:pos="462"/>
        </w:tabs>
        <w:spacing w:line="276" w:lineRule="auto"/>
        <w:ind w:right="117"/>
        <w:rPr>
          <w:sz w:val="24"/>
        </w:rPr>
      </w:pPr>
      <w:r>
        <w:rPr>
          <w:sz w:val="24"/>
        </w:rPr>
        <w:t xml:space="preserve">1 (одна) послуга – </w:t>
      </w:r>
      <w:r w:rsidR="008874DD" w:rsidRPr="008874DD">
        <w:rPr>
          <w:sz w:val="24"/>
        </w:rPr>
        <w:t>Поточний ремонт з заміни вікон та дверей нежитлового приміщення за адресою:м. Коломия, вул. Петлюри,11 (для облаштування місць тимчасового перебування внутрішньо переміщених та/або евакуйованих осіб)</w:t>
      </w:r>
      <w:r w:rsidR="008874DD">
        <w:rPr>
          <w:sz w:val="24"/>
        </w:rPr>
        <w:t>.</w:t>
      </w:r>
    </w:p>
    <w:p w:rsidR="00AF6CFE" w:rsidRDefault="009E5DB7">
      <w:pPr>
        <w:pStyle w:val="a4"/>
        <w:numPr>
          <w:ilvl w:val="0"/>
          <w:numId w:val="1"/>
        </w:numPr>
        <w:tabs>
          <w:tab w:val="left" w:pos="361"/>
        </w:tabs>
        <w:spacing w:before="199"/>
        <w:ind w:left="360" w:hanging="245"/>
        <w:rPr>
          <w:sz w:val="24"/>
        </w:rPr>
      </w:pPr>
      <w:r>
        <w:rPr>
          <w:b/>
          <w:sz w:val="24"/>
        </w:rPr>
        <w:t>Очікувана</w:t>
      </w:r>
      <w:r>
        <w:rPr>
          <w:b/>
          <w:spacing w:val="-5"/>
          <w:sz w:val="24"/>
        </w:rPr>
        <w:t xml:space="preserve"> </w:t>
      </w:r>
      <w:r>
        <w:rPr>
          <w:b/>
          <w:sz w:val="24"/>
        </w:rPr>
        <w:t>вартість</w:t>
      </w:r>
      <w:r>
        <w:rPr>
          <w:b/>
          <w:spacing w:val="3"/>
          <w:sz w:val="24"/>
        </w:rPr>
        <w:t xml:space="preserve"> </w:t>
      </w:r>
      <w:r>
        <w:rPr>
          <w:b/>
          <w:sz w:val="24"/>
        </w:rPr>
        <w:t>предмета</w:t>
      </w:r>
      <w:r>
        <w:rPr>
          <w:b/>
          <w:spacing w:val="-4"/>
          <w:sz w:val="24"/>
        </w:rPr>
        <w:t xml:space="preserve"> </w:t>
      </w:r>
      <w:r>
        <w:rPr>
          <w:b/>
          <w:sz w:val="24"/>
        </w:rPr>
        <w:t>закупівлі:</w:t>
      </w:r>
      <w:r>
        <w:rPr>
          <w:b/>
          <w:spacing w:val="3"/>
          <w:sz w:val="24"/>
        </w:rPr>
        <w:t xml:space="preserve"> </w:t>
      </w:r>
      <w:r w:rsidR="008874DD">
        <w:rPr>
          <w:sz w:val="24"/>
        </w:rPr>
        <w:t>2 150 000</w:t>
      </w:r>
      <w:r>
        <w:rPr>
          <w:sz w:val="24"/>
        </w:rPr>
        <w:t>,00</w:t>
      </w:r>
      <w:r>
        <w:rPr>
          <w:spacing w:val="-3"/>
          <w:sz w:val="24"/>
        </w:rPr>
        <w:t xml:space="preserve"> </w:t>
      </w:r>
      <w:proofErr w:type="spellStart"/>
      <w:r>
        <w:rPr>
          <w:sz w:val="24"/>
        </w:rPr>
        <w:t>грн</w:t>
      </w:r>
      <w:proofErr w:type="spellEnd"/>
      <w:r>
        <w:rPr>
          <w:spacing w:val="-2"/>
          <w:sz w:val="24"/>
        </w:rPr>
        <w:t xml:space="preserve"> </w:t>
      </w:r>
      <w:r>
        <w:rPr>
          <w:sz w:val="24"/>
        </w:rPr>
        <w:t>з</w:t>
      </w:r>
      <w:r>
        <w:rPr>
          <w:spacing w:val="-3"/>
          <w:sz w:val="24"/>
        </w:rPr>
        <w:t xml:space="preserve"> </w:t>
      </w:r>
      <w:r>
        <w:rPr>
          <w:sz w:val="24"/>
        </w:rPr>
        <w:t>ПДВ.</w:t>
      </w:r>
    </w:p>
    <w:p w:rsidR="00AF6CFE" w:rsidRDefault="00AF6CFE">
      <w:pPr>
        <w:pStyle w:val="a3"/>
        <w:spacing w:before="1"/>
        <w:ind w:left="0"/>
        <w:jc w:val="left"/>
        <w:rPr>
          <w:sz w:val="21"/>
        </w:rPr>
      </w:pPr>
    </w:p>
    <w:p w:rsidR="00AF6CFE" w:rsidRDefault="009E5DB7">
      <w:pPr>
        <w:pStyle w:val="a4"/>
        <w:numPr>
          <w:ilvl w:val="0"/>
          <w:numId w:val="1"/>
        </w:numPr>
        <w:tabs>
          <w:tab w:val="left" w:pos="366"/>
        </w:tabs>
        <w:spacing w:line="276" w:lineRule="auto"/>
        <w:ind w:right="122" w:firstLine="0"/>
        <w:rPr>
          <w:sz w:val="24"/>
        </w:rPr>
      </w:pPr>
      <w:r>
        <w:rPr>
          <w:b/>
          <w:sz w:val="24"/>
        </w:rPr>
        <w:t xml:space="preserve">Обґрунтування очікуваної вартості предмета закупівлі: </w:t>
      </w:r>
      <w:r>
        <w:rPr>
          <w:sz w:val="24"/>
        </w:rPr>
        <w:t>визначено відповідно до одного із</w:t>
      </w:r>
      <w:r>
        <w:rPr>
          <w:spacing w:val="-57"/>
          <w:sz w:val="24"/>
        </w:rPr>
        <w:t xml:space="preserve"> </w:t>
      </w:r>
      <w:r>
        <w:rPr>
          <w:sz w:val="24"/>
        </w:rPr>
        <w:t>методів</w:t>
      </w:r>
      <w:r>
        <w:rPr>
          <w:spacing w:val="1"/>
          <w:sz w:val="24"/>
        </w:rPr>
        <w:t xml:space="preserve"> </w:t>
      </w:r>
      <w:r>
        <w:rPr>
          <w:sz w:val="24"/>
        </w:rPr>
        <w:t>затвердженого</w:t>
      </w:r>
      <w:r>
        <w:rPr>
          <w:spacing w:val="1"/>
          <w:sz w:val="24"/>
        </w:rPr>
        <w:t xml:space="preserve"> </w:t>
      </w:r>
      <w:r>
        <w:rPr>
          <w:sz w:val="24"/>
        </w:rPr>
        <w:t>наказом</w:t>
      </w:r>
      <w:r>
        <w:rPr>
          <w:spacing w:val="1"/>
          <w:sz w:val="24"/>
        </w:rPr>
        <w:t xml:space="preserve"> </w:t>
      </w:r>
      <w:r>
        <w:rPr>
          <w:sz w:val="24"/>
        </w:rPr>
        <w:t>Міністерства</w:t>
      </w:r>
      <w:r>
        <w:rPr>
          <w:spacing w:val="1"/>
          <w:sz w:val="24"/>
        </w:rPr>
        <w:t xml:space="preserve"> </w:t>
      </w:r>
      <w:r>
        <w:rPr>
          <w:sz w:val="24"/>
        </w:rPr>
        <w:t>розвитку</w:t>
      </w:r>
      <w:r>
        <w:rPr>
          <w:spacing w:val="1"/>
          <w:sz w:val="24"/>
        </w:rPr>
        <w:t xml:space="preserve"> </w:t>
      </w:r>
      <w:r>
        <w:rPr>
          <w:sz w:val="24"/>
        </w:rPr>
        <w:t>економіки,</w:t>
      </w:r>
      <w:r>
        <w:rPr>
          <w:spacing w:val="1"/>
          <w:sz w:val="24"/>
        </w:rPr>
        <w:t xml:space="preserve"> </w:t>
      </w:r>
      <w:r>
        <w:rPr>
          <w:sz w:val="24"/>
        </w:rPr>
        <w:t>торгівлі</w:t>
      </w:r>
      <w:r>
        <w:rPr>
          <w:spacing w:val="1"/>
          <w:sz w:val="24"/>
        </w:rPr>
        <w:t xml:space="preserve"> </w:t>
      </w:r>
      <w:r>
        <w:rPr>
          <w:sz w:val="24"/>
        </w:rPr>
        <w:t>та</w:t>
      </w:r>
      <w:r>
        <w:rPr>
          <w:spacing w:val="1"/>
          <w:sz w:val="24"/>
        </w:rPr>
        <w:t xml:space="preserve"> </w:t>
      </w:r>
      <w:r>
        <w:rPr>
          <w:sz w:val="24"/>
        </w:rPr>
        <w:t>сільського</w:t>
      </w:r>
      <w:r>
        <w:rPr>
          <w:spacing w:val="1"/>
          <w:sz w:val="24"/>
        </w:rPr>
        <w:t xml:space="preserve"> </w:t>
      </w:r>
      <w:r>
        <w:rPr>
          <w:sz w:val="24"/>
        </w:rPr>
        <w:t>господарства від 18.02.2020р. № 275 (далі – Наказ). Розрахунок очікуваної вартості закупівлі</w:t>
      </w:r>
      <w:r>
        <w:rPr>
          <w:spacing w:val="1"/>
          <w:sz w:val="24"/>
        </w:rPr>
        <w:t xml:space="preserve"> </w:t>
      </w:r>
      <w:r>
        <w:rPr>
          <w:sz w:val="24"/>
        </w:rPr>
        <w:t>послуг визначається з урахуванням державних будівельних норм і стандартів, відповідно до</w:t>
      </w:r>
      <w:r>
        <w:rPr>
          <w:spacing w:val="1"/>
          <w:sz w:val="24"/>
        </w:rPr>
        <w:t xml:space="preserve"> </w:t>
      </w:r>
      <w:r>
        <w:rPr>
          <w:sz w:val="24"/>
        </w:rPr>
        <w:t>дефектного</w:t>
      </w:r>
      <w:r>
        <w:rPr>
          <w:spacing w:val="1"/>
          <w:sz w:val="24"/>
        </w:rPr>
        <w:t xml:space="preserve"> </w:t>
      </w:r>
      <w:r>
        <w:rPr>
          <w:sz w:val="24"/>
        </w:rPr>
        <w:t>акту,</w:t>
      </w:r>
      <w:r>
        <w:rPr>
          <w:spacing w:val="1"/>
          <w:sz w:val="24"/>
        </w:rPr>
        <w:t xml:space="preserve"> </w:t>
      </w:r>
      <w:r>
        <w:rPr>
          <w:sz w:val="24"/>
        </w:rPr>
        <w:t>розробленої</w:t>
      </w:r>
      <w:r>
        <w:rPr>
          <w:spacing w:val="1"/>
          <w:sz w:val="24"/>
        </w:rPr>
        <w:t xml:space="preserve"> </w:t>
      </w:r>
      <w:r>
        <w:rPr>
          <w:sz w:val="24"/>
        </w:rPr>
        <w:t>проектно-кошторисної</w:t>
      </w:r>
      <w:r>
        <w:rPr>
          <w:spacing w:val="1"/>
          <w:sz w:val="24"/>
        </w:rPr>
        <w:t xml:space="preserve"> </w:t>
      </w:r>
      <w:r>
        <w:rPr>
          <w:sz w:val="24"/>
        </w:rPr>
        <w:t>документації</w:t>
      </w:r>
      <w:r w:rsidR="008874DD">
        <w:rPr>
          <w:sz w:val="24"/>
        </w:rPr>
        <w:t>.</w:t>
      </w:r>
    </w:p>
    <w:sectPr w:rsidR="00AF6CFE">
      <w:pgSz w:w="11910" w:h="16840"/>
      <w:pgMar w:top="760" w:right="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5C0"/>
    <w:multiLevelType w:val="hybridMultilevel"/>
    <w:tmpl w:val="E39EB688"/>
    <w:lvl w:ilvl="0" w:tplc="F7A04386">
      <w:start w:val="5"/>
      <w:numFmt w:val="decimal"/>
      <w:lvlText w:val="%1."/>
      <w:lvlJc w:val="left"/>
      <w:pPr>
        <w:ind w:left="116" w:hanging="346"/>
      </w:pPr>
      <w:rPr>
        <w:rFonts w:ascii="Times New Roman" w:eastAsia="Times New Roman" w:hAnsi="Times New Roman" w:cs="Times New Roman" w:hint="default"/>
        <w:b/>
        <w:bCs/>
        <w:w w:val="100"/>
        <w:sz w:val="24"/>
        <w:szCs w:val="24"/>
        <w:lang w:val="uk-UA" w:eastAsia="en-US" w:bidi="ar-SA"/>
      </w:rPr>
    </w:lvl>
    <w:lvl w:ilvl="1" w:tplc="B71E9466">
      <w:numFmt w:val="bullet"/>
      <w:lvlText w:val="•"/>
      <w:lvlJc w:val="left"/>
      <w:pPr>
        <w:ind w:left="1124" w:hanging="346"/>
      </w:pPr>
      <w:rPr>
        <w:rFonts w:hint="default"/>
        <w:lang w:val="uk-UA" w:eastAsia="en-US" w:bidi="ar-SA"/>
      </w:rPr>
    </w:lvl>
    <w:lvl w:ilvl="2" w:tplc="9C3ADD74">
      <w:numFmt w:val="bullet"/>
      <w:lvlText w:val="•"/>
      <w:lvlJc w:val="left"/>
      <w:pPr>
        <w:ind w:left="2128" w:hanging="346"/>
      </w:pPr>
      <w:rPr>
        <w:rFonts w:hint="default"/>
        <w:lang w:val="uk-UA" w:eastAsia="en-US" w:bidi="ar-SA"/>
      </w:rPr>
    </w:lvl>
    <w:lvl w:ilvl="3" w:tplc="371A5360">
      <w:numFmt w:val="bullet"/>
      <w:lvlText w:val="•"/>
      <w:lvlJc w:val="left"/>
      <w:pPr>
        <w:ind w:left="3133" w:hanging="346"/>
      </w:pPr>
      <w:rPr>
        <w:rFonts w:hint="default"/>
        <w:lang w:val="uk-UA" w:eastAsia="en-US" w:bidi="ar-SA"/>
      </w:rPr>
    </w:lvl>
    <w:lvl w:ilvl="4" w:tplc="EAA442DC">
      <w:numFmt w:val="bullet"/>
      <w:lvlText w:val="•"/>
      <w:lvlJc w:val="left"/>
      <w:pPr>
        <w:ind w:left="4137" w:hanging="346"/>
      </w:pPr>
      <w:rPr>
        <w:rFonts w:hint="default"/>
        <w:lang w:val="uk-UA" w:eastAsia="en-US" w:bidi="ar-SA"/>
      </w:rPr>
    </w:lvl>
    <w:lvl w:ilvl="5" w:tplc="466E7606">
      <w:numFmt w:val="bullet"/>
      <w:lvlText w:val="•"/>
      <w:lvlJc w:val="left"/>
      <w:pPr>
        <w:ind w:left="5142" w:hanging="346"/>
      </w:pPr>
      <w:rPr>
        <w:rFonts w:hint="default"/>
        <w:lang w:val="uk-UA" w:eastAsia="en-US" w:bidi="ar-SA"/>
      </w:rPr>
    </w:lvl>
    <w:lvl w:ilvl="6" w:tplc="3BE63A36">
      <w:numFmt w:val="bullet"/>
      <w:lvlText w:val="•"/>
      <w:lvlJc w:val="left"/>
      <w:pPr>
        <w:ind w:left="6146" w:hanging="346"/>
      </w:pPr>
      <w:rPr>
        <w:rFonts w:hint="default"/>
        <w:lang w:val="uk-UA" w:eastAsia="en-US" w:bidi="ar-SA"/>
      </w:rPr>
    </w:lvl>
    <w:lvl w:ilvl="7" w:tplc="9E1C12DC">
      <w:numFmt w:val="bullet"/>
      <w:lvlText w:val="•"/>
      <w:lvlJc w:val="left"/>
      <w:pPr>
        <w:ind w:left="7150" w:hanging="346"/>
      </w:pPr>
      <w:rPr>
        <w:rFonts w:hint="default"/>
        <w:lang w:val="uk-UA" w:eastAsia="en-US" w:bidi="ar-SA"/>
      </w:rPr>
    </w:lvl>
    <w:lvl w:ilvl="8" w:tplc="E004820A">
      <w:numFmt w:val="bullet"/>
      <w:lvlText w:val="•"/>
      <w:lvlJc w:val="left"/>
      <w:pPr>
        <w:ind w:left="8155" w:hanging="346"/>
      </w:pPr>
      <w:rPr>
        <w:rFonts w:hint="default"/>
        <w:lang w:val="uk-UA" w:eastAsia="en-US" w:bidi="ar-SA"/>
      </w:rPr>
    </w:lvl>
  </w:abstractNum>
  <w:abstractNum w:abstractNumId="1">
    <w:nsid w:val="289D4C63"/>
    <w:multiLevelType w:val="hybridMultilevel"/>
    <w:tmpl w:val="615EEC74"/>
    <w:lvl w:ilvl="0" w:tplc="AFC21DFC">
      <w:start w:val="1"/>
      <w:numFmt w:val="decimal"/>
      <w:lvlText w:val="%1."/>
      <w:lvlJc w:val="left"/>
      <w:pPr>
        <w:ind w:left="116" w:hanging="341"/>
      </w:pPr>
      <w:rPr>
        <w:rFonts w:ascii="Times New Roman" w:eastAsia="Times New Roman" w:hAnsi="Times New Roman" w:cs="Times New Roman" w:hint="default"/>
        <w:b/>
        <w:bCs/>
        <w:w w:val="100"/>
        <w:sz w:val="24"/>
        <w:szCs w:val="24"/>
        <w:lang w:val="uk-UA" w:eastAsia="en-US" w:bidi="ar-SA"/>
      </w:rPr>
    </w:lvl>
    <w:lvl w:ilvl="1" w:tplc="A40C01F6">
      <w:numFmt w:val="bullet"/>
      <w:lvlText w:val="•"/>
      <w:lvlJc w:val="left"/>
      <w:pPr>
        <w:ind w:left="1124" w:hanging="341"/>
      </w:pPr>
      <w:rPr>
        <w:rFonts w:hint="default"/>
        <w:lang w:val="uk-UA" w:eastAsia="en-US" w:bidi="ar-SA"/>
      </w:rPr>
    </w:lvl>
    <w:lvl w:ilvl="2" w:tplc="A55E8838">
      <w:numFmt w:val="bullet"/>
      <w:lvlText w:val="•"/>
      <w:lvlJc w:val="left"/>
      <w:pPr>
        <w:ind w:left="2128" w:hanging="341"/>
      </w:pPr>
      <w:rPr>
        <w:rFonts w:hint="default"/>
        <w:lang w:val="uk-UA" w:eastAsia="en-US" w:bidi="ar-SA"/>
      </w:rPr>
    </w:lvl>
    <w:lvl w:ilvl="3" w:tplc="55D67F94">
      <w:numFmt w:val="bullet"/>
      <w:lvlText w:val="•"/>
      <w:lvlJc w:val="left"/>
      <w:pPr>
        <w:ind w:left="3133" w:hanging="341"/>
      </w:pPr>
      <w:rPr>
        <w:rFonts w:hint="default"/>
        <w:lang w:val="uk-UA" w:eastAsia="en-US" w:bidi="ar-SA"/>
      </w:rPr>
    </w:lvl>
    <w:lvl w:ilvl="4" w:tplc="CAF6D1FC">
      <w:numFmt w:val="bullet"/>
      <w:lvlText w:val="•"/>
      <w:lvlJc w:val="left"/>
      <w:pPr>
        <w:ind w:left="4137" w:hanging="341"/>
      </w:pPr>
      <w:rPr>
        <w:rFonts w:hint="default"/>
        <w:lang w:val="uk-UA" w:eastAsia="en-US" w:bidi="ar-SA"/>
      </w:rPr>
    </w:lvl>
    <w:lvl w:ilvl="5" w:tplc="33DCDC7A">
      <w:numFmt w:val="bullet"/>
      <w:lvlText w:val="•"/>
      <w:lvlJc w:val="left"/>
      <w:pPr>
        <w:ind w:left="5142" w:hanging="341"/>
      </w:pPr>
      <w:rPr>
        <w:rFonts w:hint="default"/>
        <w:lang w:val="uk-UA" w:eastAsia="en-US" w:bidi="ar-SA"/>
      </w:rPr>
    </w:lvl>
    <w:lvl w:ilvl="6" w:tplc="EDE02D86">
      <w:numFmt w:val="bullet"/>
      <w:lvlText w:val="•"/>
      <w:lvlJc w:val="left"/>
      <w:pPr>
        <w:ind w:left="6146" w:hanging="341"/>
      </w:pPr>
      <w:rPr>
        <w:rFonts w:hint="default"/>
        <w:lang w:val="uk-UA" w:eastAsia="en-US" w:bidi="ar-SA"/>
      </w:rPr>
    </w:lvl>
    <w:lvl w:ilvl="7" w:tplc="F300E1FE">
      <w:numFmt w:val="bullet"/>
      <w:lvlText w:val="•"/>
      <w:lvlJc w:val="left"/>
      <w:pPr>
        <w:ind w:left="7150" w:hanging="341"/>
      </w:pPr>
      <w:rPr>
        <w:rFonts w:hint="default"/>
        <w:lang w:val="uk-UA" w:eastAsia="en-US" w:bidi="ar-SA"/>
      </w:rPr>
    </w:lvl>
    <w:lvl w:ilvl="8" w:tplc="76808738">
      <w:numFmt w:val="bullet"/>
      <w:lvlText w:val="•"/>
      <w:lvlJc w:val="left"/>
      <w:pPr>
        <w:ind w:left="8155" w:hanging="341"/>
      </w:pPr>
      <w:rPr>
        <w:rFonts w:hint="default"/>
        <w:lang w:val="uk-UA" w:eastAsia="en-US" w:bidi="ar-SA"/>
      </w:rPr>
    </w:lvl>
  </w:abstractNum>
  <w:abstractNum w:abstractNumId="2">
    <w:nsid w:val="2D141176"/>
    <w:multiLevelType w:val="hybridMultilevel"/>
    <w:tmpl w:val="00E49E8E"/>
    <w:lvl w:ilvl="0" w:tplc="1F10055C">
      <w:numFmt w:val="bullet"/>
      <w:lvlText w:val="-"/>
      <w:lvlJc w:val="left"/>
      <w:pPr>
        <w:ind w:left="116" w:hanging="231"/>
      </w:pPr>
      <w:rPr>
        <w:rFonts w:ascii="Times New Roman" w:eastAsia="Times New Roman" w:hAnsi="Times New Roman" w:cs="Times New Roman" w:hint="default"/>
        <w:w w:val="99"/>
        <w:sz w:val="24"/>
        <w:szCs w:val="24"/>
        <w:lang w:val="uk-UA" w:eastAsia="en-US" w:bidi="ar-SA"/>
      </w:rPr>
    </w:lvl>
    <w:lvl w:ilvl="1" w:tplc="E20A23CE">
      <w:numFmt w:val="bullet"/>
      <w:lvlText w:val="•"/>
      <w:lvlJc w:val="left"/>
      <w:pPr>
        <w:ind w:left="1124" w:hanging="231"/>
      </w:pPr>
      <w:rPr>
        <w:rFonts w:hint="default"/>
        <w:lang w:val="uk-UA" w:eastAsia="en-US" w:bidi="ar-SA"/>
      </w:rPr>
    </w:lvl>
    <w:lvl w:ilvl="2" w:tplc="D89A2094">
      <w:numFmt w:val="bullet"/>
      <w:lvlText w:val="•"/>
      <w:lvlJc w:val="left"/>
      <w:pPr>
        <w:ind w:left="2128" w:hanging="231"/>
      </w:pPr>
      <w:rPr>
        <w:rFonts w:hint="default"/>
        <w:lang w:val="uk-UA" w:eastAsia="en-US" w:bidi="ar-SA"/>
      </w:rPr>
    </w:lvl>
    <w:lvl w:ilvl="3" w:tplc="0F3608D2">
      <w:numFmt w:val="bullet"/>
      <w:lvlText w:val="•"/>
      <w:lvlJc w:val="left"/>
      <w:pPr>
        <w:ind w:left="3133" w:hanging="231"/>
      </w:pPr>
      <w:rPr>
        <w:rFonts w:hint="default"/>
        <w:lang w:val="uk-UA" w:eastAsia="en-US" w:bidi="ar-SA"/>
      </w:rPr>
    </w:lvl>
    <w:lvl w:ilvl="4" w:tplc="D742AD5A">
      <w:numFmt w:val="bullet"/>
      <w:lvlText w:val="•"/>
      <w:lvlJc w:val="left"/>
      <w:pPr>
        <w:ind w:left="4137" w:hanging="231"/>
      </w:pPr>
      <w:rPr>
        <w:rFonts w:hint="default"/>
        <w:lang w:val="uk-UA" w:eastAsia="en-US" w:bidi="ar-SA"/>
      </w:rPr>
    </w:lvl>
    <w:lvl w:ilvl="5" w:tplc="C2E2DECE">
      <w:numFmt w:val="bullet"/>
      <w:lvlText w:val="•"/>
      <w:lvlJc w:val="left"/>
      <w:pPr>
        <w:ind w:left="5142" w:hanging="231"/>
      </w:pPr>
      <w:rPr>
        <w:rFonts w:hint="default"/>
        <w:lang w:val="uk-UA" w:eastAsia="en-US" w:bidi="ar-SA"/>
      </w:rPr>
    </w:lvl>
    <w:lvl w:ilvl="6" w:tplc="1F2E7BAA">
      <w:numFmt w:val="bullet"/>
      <w:lvlText w:val="•"/>
      <w:lvlJc w:val="left"/>
      <w:pPr>
        <w:ind w:left="6146" w:hanging="231"/>
      </w:pPr>
      <w:rPr>
        <w:rFonts w:hint="default"/>
        <w:lang w:val="uk-UA" w:eastAsia="en-US" w:bidi="ar-SA"/>
      </w:rPr>
    </w:lvl>
    <w:lvl w:ilvl="7" w:tplc="A768ACCA">
      <w:numFmt w:val="bullet"/>
      <w:lvlText w:val="•"/>
      <w:lvlJc w:val="left"/>
      <w:pPr>
        <w:ind w:left="7150" w:hanging="231"/>
      </w:pPr>
      <w:rPr>
        <w:rFonts w:hint="default"/>
        <w:lang w:val="uk-UA" w:eastAsia="en-US" w:bidi="ar-SA"/>
      </w:rPr>
    </w:lvl>
    <w:lvl w:ilvl="8" w:tplc="52364DBE">
      <w:numFmt w:val="bullet"/>
      <w:lvlText w:val="•"/>
      <w:lvlJc w:val="left"/>
      <w:pPr>
        <w:ind w:left="8155" w:hanging="231"/>
      </w:pPr>
      <w:rPr>
        <w:rFonts w:hint="default"/>
        <w:lang w:val="uk-UA" w:eastAsia="en-US" w:bidi="ar-SA"/>
      </w:rPr>
    </w:lvl>
  </w:abstractNum>
  <w:abstractNum w:abstractNumId="3">
    <w:nsid w:val="409436A2"/>
    <w:multiLevelType w:val="hybridMultilevel"/>
    <w:tmpl w:val="568815C8"/>
    <w:lvl w:ilvl="0" w:tplc="EDE62A1A">
      <w:start w:val="1"/>
      <w:numFmt w:val="decimal"/>
      <w:lvlText w:val="%1."/>
      <w:lvlJc w:val="left"/>
      <w:pPr>
        <w:ind w:left="116" w:hanging="394"/>
      </w:pPr>
      <w:rPr>
        <w:rFonts w:ascii="Times New Roman" w:eastAsia="Times New Roman" w:hAnsi="Times New Roman" w:cs="Times New Roman" w:hint="default"/>
        <w:w w:val="100"/>
        <w:sz w:val="24"/>
        <w:szCs w:val="24"/>
        <w:lang w:val="uk-UA" w:eastAsia="en-US" w:bidi="ar-SA"/>
      </w:rPr>
    </w:lvl>
    <w:lvl w:ilvl="1" w:tplc="95FEB5E6">
      <w:numFmt w:val="bullet"/>
      <w:lvlText w:val="•"/>
      <w:lvlJc w:val="left"/>
      <w:pPr>
        <w:ind w:left="1124" w:hanging="394"/>
      </w:pPr>
      <w:rPr>
        <w:rFonts w:hint="default"/>
        <w:lang w:val="uk-UA" w:eastAsia="en-US" w:bidi="ar-SA"/>
      </w:rPr>
    </w:lvl>
    <w:lvl w:ilvl="2" w:tplc="E40A05E2">
      <w:numFmt w:val="bullet"/>
      <w:lvlText w:val="•"/>
      <w:lvlJc w:val="left"/>
      <w:pPr>
        <w:ind w:left="2128" w:hanging="394"/>
      </w:pPr>
      <w:rPr>
        <w:rFonts w:hint="default"/>
        <w:lang w:val="uk-UA" w:eastAsia="en-US" w:bidi="ar-SA"/>
      </w:rPr>
    </w:lvl>
    <w:lvl w:ilvl="3" w:tplc="0AD4B7F4">
      <w:numFmt w:val="bullet"/>
      <w:lvlText w:val="•"/>
      <w:lvlJc w:val="left"/>
      <w:pPr>
        <w:ind w:left="3133" w:hanging="394"/>
      </w:pPr>
      <w:rPr>
        <w:rFonts w:hint="default"/>
        <w:lang w:val="uk-UA" w:eastAsia="en-US" w:bidi="ar-SA"/>
      </w:rPr>
    </w:lvl>
    <w:lvl w:ilvl="4" w:tplc="9754FCA4">
      <w:numFmt w:val="bullet"/>
      <w:lvlText w:val="•"/>
      <w:lvlJc w:val="left"/>
      <w:pPr>
        <w:ind w:left="4137" w:hanging="394"/>
      </w:pPr>
      <w:rPr>
        <w:rFonts w:hint="default"/>
        <w:lang w:val="uk-UA" w:eastAsia="en-US" w:bidi="ar-SA"/>
      </w:rPr>
    </w:lvl>
    <w:lvl w:ilvl="5" w:tplc="EA44F012">
      <w:numFmt w:val="bullet"/>
      <w:lvlText w:val="•"/>
      <w:lvlJc w:val="left"/>
      <w:pPr>
        <w:ind w:left="5142" w:hanging="394"/>
      </w:pPr>
      <w:rPr>
        <w:rFonts w:hint="default"/>
        <w:lang w:val="uk-UA" w:eastAsia="en-US" w:bidi="ar-SA"/>
      </w:rPr>
    </w:lvl>
    <w:lvl w:ilvl="6" w:tplc="64A21F42">
      <w:numFmt w:val="bullet"/>
      <w:lvlText w:val="•"/>
      <w:lvlJc w:val="left"/>
      <w:pPr>
        <w:ind w:left="6146" w:hanging="394"/>
      </w:pPr>
      <w:rPr>
        <w:rFonts w:hint="default"/>
        <w:lang w:val="uk-UA" w:eastAsia="en-US" w:bidi="ar-SA"/>
      </w:rPr>
    </w:lvl>
    <w:lvl w:ilvl="7" w:tplc="8ABCCC1A">
      <w:numFmt w:val="bullet"/>
      <w:lvlText w:val="•"/>
      <w:lvlJc w:val="left"/>
      <w:pPr>
        <w:ind w:left="7150" w:hanging="394"/>
      </w:pPr>
      <w:rPr>
        <w:rFonts w:hint="default"/>
        <w:lang w:val="uk-UA" w:eastAsia="en-US" w:bidi="ar-SA"/>
      </w:rPr>
    </w:lvl>
    <w:lvl w:ilvl="8" w:tplc="7D383248">
      <w:numFmt w:val="bullet"/>
      <w:lvlText w:val="•"/>
      <w:lvlJc w:val="left"/>
      <w:pPr>
        <w:ind w:left="8155" w:hanging="394"/>
      </w:pPr>
      <w:rPr>
        <w:rFonts w:hint="default"/>
        <w:lang w:val="uk-UA" w:eastAsia="en-US" w:bidi="ar-SA"/>
      </w:rPr>
    </w:lvl>
  </w:abstractNum>
  <w:abstractNum w:abstractNumId="4">
    <w:nsid w:val="68BB293F"/>
    <w:multiLevelType w:val="hybridMultilevel"/>
    <w:tmpl w:val="FD22B614"/>
    <w:lvl w:ilvl="0" w:tplc="BE2056B4">
      <w:start w:val="7"/>
      <w:numFmt w:val="decimal"/>
      <w:lvlText w:val="%1."/>
      <w:lvlJc w:val="left"/>
      <w:pPr>
        <w:ind w:left="116" w:hanging="360"/>
      </w:pPr>
      <w:rPr>
        <w:rFonts w:ascii="Times New Roman" w:eastAsia="Times New Roman" w:hAnsi="Times New Roman" w:cs="Times New Roman" w:hint="default"/>
        <w:w w:val="100"/>
        <w:sz w:val="24"/>
        <w:szCs w:val="24"/>
        <w:lang w:val="uk-UA" w:eastAsia="en-US" w:bidi="ar-SA"/>
      </w:rPr>
    </w:lvl>
    <w:lvl w:ilvl="1" w:tplc="89200288">
      <w:numFmt w:val="bullet"/>
      <w:lvlText w:val="•"/>
      <w:lvlJc w:val="left"/>
      <w:pPr>
        <w:ind w:left="1124" w:hanging="360"/>
      </w:pPr>
      <w:rPr>
        <w:rFonts w:hint="default"/>
        <w:lang w:val="uk-UA" w:eastAsia="en-US" w:bidi="ar-SA"/>
      </w:rPr>
    </w:lvl>
    <w:lvl w:ilvl="2" w:tplc="71E26F18">
      <w:numFmt w:val="bullet"/>
      <w:lvlText w:val="•"/>
      <w:lvlJc w:val="left"/>
      <w:pPr>
        <w:ind w:left="2128" w:hanging="360"/>
      </w:pPr>
      <w:rPr>
        <w:rFonts w:hint="default"/>
        <w:lang w:val="uk-UA" w:eastAsia="en-US" w:bidi="ar-SA"/>
      </w:rPr>
    </w:lvl>
    <w:lvl w:ilvl="3" w:tplc="75221B08">
      <w:numFmt w:val="bullet"/>
      <w:lvlText w:val="•"/>
      <w:lvlJc w:val="left"/>
      <w:pPr>
        <w:ind w:left="3133" w:hanging="360"/>
      </w:pPr>
      <w:rPr>
        <w:rFonts w:hint="default"/>
        <w:lang w:val="uk-UA" w:eastAsia="en-US" w:bidi="ar-SA"/>
      </w:rPr>
    </w:lvl>
    <w:lvl w:ilvl="4" w:tplc="4D004ADE">
      <w:numFmt w:val="bullet"/>
      <w:lvlText w:val="•"/>
      <w:lvlJc w:val="left"/>
      <w:pPr>
        <w:ind w:left="4137" w:hanging="360"/>
      </w:pPr>
      <w:rPr>
        <w:rFonts w:hint="default"/>
        <w:lang w:val="uk-UA" w:eastAsia="en-US" w:bidi="ar-SA"/>
      </w:rPr>
    </w:lvl>
    <w:lvl w:ilvl="5" w:tplc="78A84B82">
      <w:numFmt w:val="bullet"/>
      <w:lvlText w:val="•"/>
      <w:lvlJc w:val="left"/>
      <w:pPr>
        <w:ind w:left="5142" w:hanging="360"/>
      </w:pPr>
      <w:rPr>
        <w:rFonts w:hint="default"/>
        <w:lang w:val="uk-UA" w:eastAsia="en-US" w:bidi="ar-SA"/>
      </w:rPr>
    </w:lvl>
    <w:lvl w:ilvl="6" w:tplc="10E47168">
      <w:numFmt w:val="bullet"/>
      <w:lvlText w:val="•"/>
      <w:lvlJc w:val="left"/>
      <w:pPr>
        <w:ind w:left="6146" w:hanging="360"/>
      </w:pPr>
      <w:rPr>
        <w:rFonts w:hint="default"/>
        <w:lang w:val="uk-UA" w:eastAsia="en-US" w:bidi="ar-SA"/>
      </w:rPr>
    </w:lvl>
    <w:lvl w:ilvl="7" w:tplc="193EAAC6">
      <w:numFmt w:val="bullet"/>
      <w:lvlText w:val="•"/>
      <w:lvlJc w:val="left"/>
      <w:pPr>
        <w:ind w:left="7150" w:hanging="360"/>
      </w:pPr>
      <w:rPr>
        <w:rFonts w:hint="default"/>
        <w:lang w:val="uk-UA" w:eastAsia="en-US" w:bidi="ar-SA"/>
      </w:rPr>
    </w:lvl>
    <w:lvl w:ilvl="8" w:tplc="DE88B2B0">
      <w:numFmt w:val="bullet"/>
      <w:lvlText w:val="•"/>
      <w:lvlJc w:val="left"/>
      <w:pPr>
        <w:ind w:left="8155" w:hanging="360"/>
      </w:pPr>
      <w:rPr>
        <w:rFonts w:hint="default"/>
        <w:lang w:val="uk-UA" w:eastAsia="en-US" w:bidi="ar-SA"/>
      </w:rPr>
    </w:lvl>
  </w:abstractNum>
  <w:abstractNum w:abstractNumId="5">
    <w:nsid w:val="6D1344F7"/>
    <w:multiLevelType w:val="hybridMultilevel"/>
    <w:tmpl w:val="2B606976"/>
    <w:lvl w:ilvl="0" w:tplc="C49E83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F6CFE"/>
    <w:rsid w:val="005864C8"/>
    <w:rsid w:val="008874DD"/>
    <w:rsid w:val="009B1DA4"/>
    <w:rsid w:val="009E5DB7"/>
    <w:rsid w:val="00AF6CFE"/>
    <w:rsid w:val="00C3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3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List Paragraph"/>
    <w:basedOn w:val="a"/>
    <w:uiPriority w:val="1"/>
    <w:qFormat/>
    <w:pPr>
      <w:ind w:left="116"/>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3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List Paragraph"/>
    <w:basedOn w:val="a"/>
    <w:uiPriority w:val="1"/>
    <w:qFormat/>
    <w:pPr>
      <w:ind w:left="11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BEF9-530A-4400-9416-7701951F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4</cp:revision>
  <cp:lastPrinted>2023-09-22T08:08:00Z</cp:lastPrinted>
  <dcterms:created xsi:type="dcterms:W3CDTF">2023-09-21T11:45:00Z</dcterms:created>
  <dcterms:modified xsi:type="dcterms:W3CDTF">2023-09-22T08:10:00Z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2016</vt:lpwstr>
  </property>
  <property fmtid="{D5CDD505-2E9C-101B-9397-08002B2CF9AE}" pid="4" name="LastSaved">
    <vt:filetime>2023-09-21T00:00:00Z</vt:filetime>
  </property>
</Properties>
</file>